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5E" w:rsidRDefault="0044798B" w:rsidP="00687D21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8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8"/>
          <w:szCs w:val="18"/>
          <w:lang w:eastAsia="pt-BR"/>
        </w:rPr>
        <w:t>AMBIENTE VIRTUAL COMO FERRAMENTA NO PROCESSO ENSINO-APRENDIZAGEM</w:t>
      </w:r>
      <w:r w:rsidR="004F056B">
        <w:rPr>
          <w:rFonts w:ascii="Times New Roman" w:eastAsia="Times New Roman" w:hAnsi="Times New Roman"/>
          <w:b/>
          <w:color w:val="000000"/>
          <w:sz w:val="28"/>
          <w:szCs w:val="18"/>
          <w:lang w:eastAsia="pt-BR"/>
        </w:rPr>
        <w:t xml:space="preserve"> DA DISCIPLINA DE CIRURGIA II</w:t>
      </w:r>
    </w:p>
    <w:p w:rsidR="00A04F5E" w:rsidRDefault="00A04F5E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</w:p>
    <w:p w:rsidR="00A04F5E" w:rsidRDefault="008241A3" w:rsidP="00687D21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BARBOSA (UFPB, 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Professor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Colaborador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),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Danilo B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.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471A5D" w:rsidRDefault="008241A3" w:rsidP="00687D21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FALCÃO (UFPB, 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Professor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Colaborador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), </w:t>
      </w:r>
      <w:r w:rsidR="00471A5D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Paulo G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471A5D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471A5D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B</w:t>
      </w:r>
      <w:r w:rsidR="00471A5D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.</w:t>
      </w:r>
      <w:r w:rsidR="00471A5D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A04F5E" w:rsidRDefault="00471A5D" w:rsidP="00687D21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RO</w:t>
      </w:r>
      <w:r w:rsidR="008241A3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DRIGUES (UFPB, 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Professor Colaborador</w:t>
      </w:r>
      <w:r w:rsidR="008241A3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)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Fabiano G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A04F5E" w:rsidRDefault="00471A5D" w:rsidP="00687D21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RODRIGUES (UFPB, 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Professora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Coordenadora, tanialcoelho@gmail.com),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Tânia L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435410" w:rsidRDefault="00471A5D" w:rsidP="00435410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QUEIROZ (UFPB, 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Monitor Voluntário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, ajlqueiroz@gmail.com),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Allan J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A04F5E" w:rsidRPr="00A04F5E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L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.</w:t>
      </w:r>
    </w:p>
    <w:p w:rsidR="00435410" w:rsidRDefault="00435410" w:rsidP="00435410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CENTRO DE CIÊNCIAS DA SAÚDE</w:t>
      </w:r>
    </w:p>
    <w:p w:rsidR="00435410" w:rsidRDefault="00435410" w:rsidP="00435410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DEPARTAMENTO DE CLÍNICA E ODONTOLOGIA SOCIAL</w:t>
      </w:r>
    </w:p>
    <w:p w:rsidR="00435410" w:rsidRDefault="00435410" w:rsidP="00435410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476283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PROGRAMA ACADÊMICO</w:t>
      </w:r>
      <w:r w:rsidR="004F056B" w:rsidRPr="00476283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/ PIBID</w:t>
      </w:r>
    </w:p>
    <w:p w:rsidR="00471A5D" w:rsidRPr="00A04F5E" w:rsidRDefault="00471A5D" w:rsidP="00687D21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</w:p>
    <w:p w:rsidR="00D97209" w:rsidRPr="00471A5D" w:rsidRDefault="00471A5D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471A5D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RESUMO</w:t>
      </w:r>
    </w:p>
    <w:p w:rsidR="003C62A4" w:rsidRDefault="002F2A0C" w:rsidP="00687D2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2A0C">
        <w:rPr>
          <w:rFonts w:ascii="Times New Roman" w:hAnsi="Times New Roman"/>
          <w:color w:val="000000"/>
          <w:sz w:val="24"/>
          <w:szCs w:val="24"/>
        </w:rPr>
        <w:t xml:space="preserve">Em uma sociedade globalizada, o conhecimento tem se tornado um recurso importante, </w:t>
      </w:r>
      <w:r>
        <w:rPr>
          <w:rFonts w:ascii="Times New Roman" w:hAnsi="Times New Roman"/>
          <w:color w:val="000000"/>
          <w:sz w:val="24"/>
          <w:szCs w:val="24"/>
        </w:rPr>
        <w:t>devido a</w:t>
      </w:r>
      <w:r w:rsidRPr="002F2A0C">
        <w:rPr>
          <w:rFonts w:ascii="Times New Roman" w:hAnsi="Times New Roman"/>
          <w:color w:val="000000"/>
          <w:sz w:val="24"/>
          <w:szCs w:val="24"/>
        </w:rPr>
        <w:t xml:space="preserve"> constante evolução e transformação</w:t>
      </w:r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3C62A4">
        <w:rPr>
          <w:rFonts w:ascii="Times New Roman" w:hAnsi="Times New Roman"/>
          <w:color w:val="000000"/>
          <w:sz w:val="24"/>
          <w:szCs w:val="24"/>
        </w:rPr>
        <w:t>informação</w:t>
      </w:r>
      <w:r w:rsidRPr="002F2A0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2A0C">
        <w:rPr>
          <w:rFonts w:ascii="Times New Roman" w:hAnsi="Times New Roman"/>
          <w:color w:val="000000"/>
          <w:sz w:val="24"/>
          <w:szCs w:val="24"/>
        </w:rPr>
        <w:t xml:space="preserve">Diante das exigências do mundo moderno, 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Pr="002F2A0C">
        <w:rPr>
          <w:rFonts w:ascii="Times New Roman" w:hAnsi="Times New Roman"/>
          <w:color w:val="000000"/>
          <w:sz w:val="24"/>
          <w:szCs w:val="24"/>
        </w:rPr>
        <w:t xml:space="preserve"> necessário </w:t>
      </w:r>
      <w:r>
        <w:rPr>
          <w:rFonts w:ascii="Times New Roman" w:hAnsi="Times New Roman"/>
          <w:color w:val="000000"/>
          <w:sz w:val="24"/>
          <w:szCs w:val="24"/>
        </w:rPr>
        <w:t>ter papel ativo no processo ensino-</w:t>
      </w:r>
      <w:r w:rsidRPr="002F2A0C">
        <w:rPr>
          <w:rFonts w:ascii="Times New Roman" w:hAnsi="Times New Roman"/>
          <w:color w:val="000000"/>
          <w:sz w:val="24"/>
          <w:szCs w:val="24"/>
        </w:rPr>
        <w:t>aprendizagem</w:t>
      </w:r>
      <w:r>
        <w:rPr>
          <w:rFonts w:ascii="Times New Roman" w:hAnsi="Times New Roman"/>
          <w:color w:val="000000"/>
          <w:sz w:val="24"/>
          <w:szCs w:val="24"/>
        </w:rPr>
        <w:t xml:space="preserve">. Isso é possível </w:t>
      </w:r>
      <w:r w:rsidR="003C62A4">
        <w:rPr>
          <w:rFonts w:ascii="Times New Roman" w:hAnsi="Times New Roman"/>
          <w:color w:val="000000"/>
          <w:sz w:val="24"/>
          <w:szCs w:val="24"/>
        </w:rPr>
        <w:t xml:space="preserve">através 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do uso </w:t>
      </w:r>
      <w:r w:rsidR="003C62A4">
        <w:rPr>
          <w:rFonts w:ascii="Times New Roman" w:hAnsi="Times New Roman"/>
          <w:color w:val="000000"/>
          <w:sz w:val="24"/>
          <w:szCs w:val="24"/>
        </w:rPr>
        <w:t>de</w:t>
      </w:r>
      <w:r w:rsidRPr="002F2A0C">
        <w:rPr>
          <w:rFonts w:ascii="Times New Roman" w:hAnsi="Times New Roman"/>
          <w:color w:val="000000"/>
          <w:sz w:val="24"/>
          <w:szCs w:val="24"/>
        </w:rPr>
        <w:t xml:space="preserve"> metodologias ativas que </w:t>
      </w:r>
      <w:r w:rsidR="003C62A4">
        <w:rPr>
          <w:rFonts w:ascii="Times New Roman" w:hAnsi="Times New Roman"/>
          <w:color w:val="000000"/>
          <w:sz w:val="24"/>
          <w:szCs w:val="24"/>
        </w:rPr>
        <w:t xml:space="preserve">possam transmitir conhecimento </w:t>
      </w:r>
      <w:r w:rsidRPr="002F2A0C">
        <w:rPr>
          <w:rFonts w:ascii="Times New Roman" w:hAnsi="Times New Roman"/>
          <w:color w:val="000000"/>
          <w:sz w:val="24"/>
          <w:szCs w:val="24"/>
        </w:rPr>
        <w:t>além das salas de aula e laboratórios.</w:t>
      </w:r>
      <w:r w:rsidR="003C62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A monitoria é compreendida como sendo um instrumento </w:t>
      </w:r>
      <w:r w:rsidR="003C62A4">
        <w:rPr>
          <w:rFonts w:ascii="Times New Roman" w:hAnsi="Times New Roman"/>
          <w:color w:val="000000"/>
          <w:sz w:val="24"/>
          <w:szCs w:val="24"/>
        </w:rPr>
        <w:t xml:space="preserve">facilitador, 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e vem a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>possibilita</w:t>
      </w:r>
      <w:r w:rsidR="00907F58">
        <w:rPr>
          <w:rFonts w:ascii="Times New Roman" w:hAnsi="Times New Roman"/>
          <w:color w:val="000000"/>
          <w:sz w:val="24"/>
          <w:szCs w:val="24"/>
        </w:rPr>
        <w:t>r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2A4">
        <w:rPr>
          <w:rFonts w:ascii="Times New Roman" w:hAnsi="Times New Roman"/>
          <w:color w:val="000000"/>
          <w:sz w:val="24"/>
          <w:szCs w:val="24"/>
        </w:rPr>
        <w:t>uma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 melhoria </w:t>
      </w:r>
      <w:r w:rsidR="003C62A4">
        <w:rPr>
          <w:rFonts w:ascii="Times New Roman" w:hAnsi="Times New Roman"/>
          <w:color w:val="000000"/>
          <w:sz w:val="24"/>
          <w:szCs w:val="24"/>
        </w:rPr>
        <w:t>na transmissão do conhecimento entre professor, monitor e aluno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>. Tem-se, a partir daí, o estabelecimento de novas práticas e experiências de aprendizagem que ajudam a fortalecer o eixo de articulação entre teoria e prática.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O desenvolvimento de um ambiente virtual de aprendizagem, juntamente com a criação de um guia básico de estudo da disciplina, permitiu que os a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>luno</w:t>
      </w:r>
      <w:r w:rsidR="00907F58">
        <w:rPr>
          <w:rFonts w:ascii="Times New Roman" w:hAnsi="Times New Roman"/>
          <w:color w:val="000000"/>
          <w:sz w:val="24"/>
          <w:szCs w:val="24"/>
        </w:rPr>
        <w:t>s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 tivesse</w:t>
      </w:r>
      <w:r w:rsidR="00907F58">
        <w:rPr>
          <w:rFonts w:ascii="Times New Roman" w:hAnsi="Times New Roman"/>
          <w:color w:val="000000"/>
          <w:sz w:val="24"/>
          <w:szCs w:val="24"/>
        </w:rPr>
        <w:t>m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 um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direcionamento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>do conteúdo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 teórico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 visto em sala de aula, tendo assim um maior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aproveitamento n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a disciplina. Com </w:t>
      </w:r>
      <w:r w:rsidR="00907F58">
        <w:rPr>
          <w:rFonts w:ascii="Times New Roman" w:hAnsi="Times New Roman"/>
          <w:color w:val="000000"/>
          <w:sz w:val="24"/>
          <w:szCs w:val="24"/>
        </w:rPr>
        <w:t>a criação d</w:t>
      </w:r>
      <w:r w:rsidR="00E75CE2">
        <w:rPr>
          <w:rFonts w:ascii="Times New Roman" w:hAnsi="Times New Roman"/>
          <w:color w:val="000000"/>
          <w:sz w:val="24"/>
          <w:szCs w:val="24"/>
        </w:rPr>
        <w:t>o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ambiente virtual </w:t>
      </w:r>
      <w:r w:rsidR="00E75CE2">
        <w:rPr>
          <w:rFonts w:ascii="Times New Roman" w:hAnsi="Times New Roman"/>
          <w:color w:val="000000"/>
          <w:sz w:val="24"/>
          <w:szCs w:val="24"/>
        </w:rPr>
        <w:t>a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discussão de artigos científicos, casos clínicos, dentre outras atividades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 torna-se possível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. Essa ferramenta leva a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uma maior fixação do conteúdo e um maior </w:t>
      </w:r>
      <w:r w:rsidR="00907F58">
        <w:rPr>
          <w:rFonts w:ascii="Times New Roman" w:hAnsi="Times New Roman"/>
          <w:color w:val="000000"/>
          <w:sz w:val="24"/>
          <w:szCs w:val="24"/>
        </w:rPr>
        <w:lastRenderedPageBreak/>
        <w:t xml:space="preserve">aprimoramento dos conhecimentos, </w:t>
      </w:r>
      <w:r w:rsidR="00E75CE2">
        <w:rPr>
          <w:rFonts w:ascii="Times New Roman" w:hAnsi="Times New Roman"/>
          <w:color w:val="000000"/>
          <w:sz w:val="24"/>
          <w:szCs w:val="24"/>
        </w:rPr>
        <w:t>por</w:t>
      </w:r>
      <w:r w:rsidR="00907F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ser um espaço propício a discussão com os monitores e professores </w:t>
      </w:r>
      <w:proofErr w:type="spellStart"/>
      <w:r w:rsidR="00E75CE2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="00E75C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5CE2">
        <w:rPr>
          <w:rFonts w:ascii="Times New Roman" w:hAnsi="Times New Roman"/>
          <w:color w:val="000000"/>
          <w:sz w:val="24"/>
          <w:szCs w:val="24"/>
        </w:rPr>
        <w:t>line</w:t>
      </w:r>
      <w:proofErr w:type="spellEnd"/>
      <w:r w:rsidR="00E75C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>possibilita</w:t>
      </w:r>
      <w:r w:rsidR="00E75CE2">
        <w:rPr>
          <w:rFonts w:ascii="Times New Roman" w:hAnsi="Times New Roman"/>
          <w:color w:val="000000"/>
          <w:sz w:val="24"/>
          <w:szCs w:val="24"/>
        </w:rPr>
        <w:t xml:space="preserve">ndo </w:t>
      </w:r>
      <w:r w:rsidR="003C62A4" w:rsidRPr="003C62A4">
        <w:rPr>
          <w:rFonts w:ascii="Times New Roman" w:hAnsi="Times New Roman"/>
          <w:color w:val="000000"/>
          <w:sz w:val="24"/>
          <w:szCs w:val="24"/>
        </w:rPr>
        <w:t xml:space="preserve">uma análise crítica dos eventos que ocorrem </w:t>
      </w:r>
      <w:r w:rsidR="00E75CE2">
        <w:rPr>
          <w:rFonts w:ascii="Times New Roman" w:hAnsi="Times New Roman"/>
          <w:color w:val="000000"/>
          <w:sz w:val="24"/>
          <w:szCs w:val="24"/>
        </w:rPr>
        <w:t>dentro das atividades teórico-práticas.</w:t>
      </w:r>
    </w:p>
    <w:p w:rsidR="003C62A4" w:rsidRDefault="003C62A4" w:rsidP="00687D2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209" w:rsidRPr="007B4C6A" w:rsidRDefault="00471A5D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71A5D">
        <w:rPr>
          <w:rFonts w:ascii="Times New Roman" w:hAnsi="Times New Roman"/>
          <w:b/>
          <w:sz w:val="24"/>
          <w:szCs w:val="24"/>
        </w:rPr>
        <w:t>PALAVRAS-CHAVE</w:t>
      </w:r>
      <w:r w:rsidR="00D97209" w:rsidRPr="007B4C6A">
        <w:rPr>
          <w:rFonts w:ascii="Times New Roman" w:hAnsi="Times New Roman"/>
          <w:sz w:val="24"/>
          <w:szCs w:val="24"/>
        </w:rPr>
        <w:t xml:space="preserve">: </w:t>
      </w:r>
      <w:r w:rsidR="0044798B">
        <w:rPr>
          <w:rFonts w:ascii="Times New Roman" w:hAnsi="Times New Roman"/>
          <w:sz w:val="24"/>
          <w:szCs w:val="24"/>
        </w:rPr>
        <w:t>Conhecimento</w:t>
      </w:r>
      <w:r w:rsidR="00D97209" w:rsidRPr="007B4C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798B">
        <w:rPr>
          <w:rFonts w:ascii="Times New Roman" w:hAnsi="Times New Roman"/>
          <w:color w:val="000000"/>
          <w:sz w:val="24"/>
          <w:szCs w:val="24"/>
        </w:rPr>
        <w:t>Monitor</w:t>
      </w:r>
      <w:r w:rsidR="00D97209" w:rsidRPr="007B4C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798B">
        <w:rPr>
          <w:rFonts w:ascii="Times New Roman" w:hAnsi="Times New Roman"/>
          <w:color w:val="000000"/>
          <w:sz w:val="24"/>
          <w:szCs w:val="24"/>
        </w:rPr>
        <w:t>Virtual</w:t>
      </w:r>
      <w:r w:rsidR="00D97209" w:rsidRPr="007B4C6A">
        <w:rPr>
          <w:rFonts w:ascii="Times New Roman" w:hAnsi="Times New Roman"/>
          <w:color w:val="000000"/>
          <w:sz w:val="24"/>
          <w:szCs w:val="24"/>
        </w:rPr>
        <w:t>.</w:t>
      </w:r>
      <w:r w:rsidR="00D97209" w:rsidRPr="007B4C6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D97209" w:rsidRPr="007B4C6A" w:rsidRDefault="00D97209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</w:p>
    <w:p w:rsidR="00B840E8" w:rsidRPr="00471A5D" w:rsidRDefault="00471A5D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471A5D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INTRODUÇÃO</w:t>
      </w:r>
    </w:p>
    <w:p w:rsidR="003870C2" w:rsidRPr="003870C2" w:rsidRDefault="00283C4B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7B4C6A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ab/>
      </w:r>
      <w:r w:rsidR="00E75CE2" w:rsidRPr="00E75CE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Diante da Era digital em que os alunos cresceram e/ou crescem cercados e fazendo uso de computadores, vídeo games, telefones celulares, câmeras de vídeo, mp3, mp4, entre outros meios dessa era; se faz necessário pensar e utilizar novas ferramentas de ensino, a fim de</w:t>
      </w:r>
      <w:r w:rsid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adequar o processo de ensino/aprendizagem ao novo perfil de aluno, possibilitando a eficácia do mesmo. Segundo Marc </w:t>
      </w:r>
      <w:proofErr w:type="spellStart"/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Prensky</w:t>
      </w:r>
      <w:proofErr w:type="spellEnd"/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(2001), os alunos </w:t>
      </w:r>
      <w:r w:rsid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atualmente não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mudaram somente no q</w:t>
      </w:r>
      <w:r w:rsid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ue diz respeito aos seus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estilos, em relação às gerações anteriores, mas, sobretudo, passaram por uma rápida difusão da tecnologia digital nas últimas décadas do século XX. É nesse contexto que os estudantes de hoje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caracterizam-se como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Nativos Digitais, estes, falantes nativos da linguagem digital de computadores e internet; e a geração mais antiga de Imigrantes Digitais, estes, falantes de uma linguagem ultrapassada da era </w:t>
      </w:r>
      <w:proofErr w:type="spellStart"/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pré</w:t>
      </w:r>
      <w:proofErr w:type="spellEnd"/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-digital. Os profissionais de ensino precisam refletir e elaborar materiais, planos de aulas ou mesmo procurar utilizar ferramentas didáticas pensando nessas mudanças, a fim de alcançar o novo perfil de aprendiz. O conhecimento muda constantemente, as tecnologias evoluem do mesmo modo, então, não podemos simplesmente estacionar, parar no tempo; o saber caminhar junto na mesma direção é um fator imprescindível para evolução do processo. Vale considerar que não são os alunos que têm de voltar ao tempo, voltar para as velhas práticas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; os educadores é que devem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avançar, já que o objetivo do conhecimento é evoluir e não retroceder. A educação atual enfrenta um grande problema: os orientadores Imigrantes Digitais lutam para ensinar a uma população que fala uma linguagem totalmente nova. É nesse sentido que o gênero textual blog foi escolhido, por ser um gênero que está inserido no contexto digital e na realidade dos estudantes de hoje, podendo expandir a interação entre professor- 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monitor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e 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monitor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-aluno, além da possibilidade de desenvo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lver a autonomia dos educandos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(Lerner, 2002)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 maioria das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lastRenderedPageBreak/>
        <w:t xml:space="preserve">instituições 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oferecem uma aula semanal,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o que acaba sendo pouco se levamos em consideração a</w:t>
      </w:r>
      <w:r w:rsid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riqueza 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de conteúdos teóricos da cirurgia </w:t>
      </w:r>
      <w:proofErr w:type="spellStart"/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bucomaxilofacial</w:t>
      </w:r>
      <w:proofErr w:type="spellEnd"/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Nesse contexto, a interação entre professor/aluno ou mesmo aluno/aluno acaba sendo bastante limitada e o blog pode viabilizar um contato fora do espaço físico</w:t>
      </w:r>
      <w:r w:rsidR="0044798B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</w:p>
    <w:p w:rsidR="003870C2" w:rsidRDefault="003870C2" w:rsidP="00687D21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Segundo Costa (2009) o blog pode ser definido como um jornal/diário digital/eletrônico pessoal publicado na web, geralmente informal, atualizado com frequência. 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G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eralmente são simples, com textos curtos, predominando os narrativos (rel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atos), descritivos e opinativos (COSTA, 2009, p. 44-45). 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Os 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alunos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também têm a opção de seguir o blog por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email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e receber notificações de cada nova postagem. A ideia desse trabalho é que os alunos e professores tenham acesso ao blog em um período paralelo aos encontros presenciais na instituição; o ideal é que  pelo menos uma vez por semana os estudantes acessem o blog para acompanhar o curso online; o professor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e monitor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além de elaborar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em 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atividades e realizar as postagens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,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deve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acompanhar com frequência o desempenho dos alunos na ferramenta trabalhada. As dúvidas dos alunos são esclarecidas no próprio blog n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os espaços destinados a esse fim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O feedback do professor nas atividades realizadas é realizado no próprio blog e/ou por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email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privado se necessário. No que se refere à avaliação dos alunos, sugere-se que seja realizada de maneira continua a partir do desempenho nas tarefas propostas e participação individual e/ou grupo.</w:t>
      </w:r>
      <w:r w:rsidR="00CD009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Em relação à avaliação da proposta didática por parte dos estudantes, no próprio blog é disponibilizado um espaço destinado a avaliação dos alunos sobre o trabalho realizado nele junto com outras ferramentas digitais. Neste espaço, além de avaliar, os alunos poderão tecer sugestões para uma possível mudança e/ou melhora do blog. </w:t>
      </w:r>
    </w:p>
    <w:p w:rsidR="000543D8" w:rsidRDefault="000543D8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</w:p>
    <w:p w:rsidR="000543D8" w:rsidRPr="000543D8" w:rsidRDefault="000543D8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0543D8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OBJETIVOS</w:t>
      </w:r>
    </w:p>
    <w:p w:rsidR="003870C2" w:rsidRDefault="000543D8" w:rsidP="00687D21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O intuito deste trabalho foi </w:t>
      </w:r>
      <w:r w:rsidR="00CD0091" w:rsidRPr="000543D8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de apresentar o blog como uma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ferramenta no processo de ensino/aprendizagem, bem como capacitar o monitor a criar material didático de qualidade.</w:t>
      </w:r>
    </w:p>
    <w:p w:rsidR="001F6E8A" w:rsidRDefault="001F6E8A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1F6E8A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METODOLOGIA</w:t>
      </w:r>
    </w:p>
    <w:p w:rsidR="001F6E8A" w:rsidRPr="001F6E8A" w:rsidRDefault="00687D21" w:rsidP="00687D2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>
        <w:rPr>
          <w:rFonts w:ascii="Times New Roman" w:hAnsi="Times New Roman"/>
          <w:sz w:val="24"/>
          <w:szCs w:val="24"/>
        </w:rPr>
        <w:t>Fornecer suporte teórico aos alunos através da c</w:t>
      </w:r>
      <w:r w:rsidR="001F6E8A">
        <w:rPr>
          <w:rFonts w:ascii="Times New Roman" w:hAnsi="Times New Roman"/>
          <w:sz w:val="24"/>
          <w:szCs w:val="24"/>
        </w:rPr>
        <w:t xml:space="preserve">riação do ambiente virtual de aprendizagem da disciplina de cirurgia II através da ferramenta disponível </w:t>
      </w:r>
      <w:proofErr w:type="spellStart"/>
      <w:r w:rsidR="001F6E8A">
        <w:rPr>
          <w:rFonts w:ascii="Times New Roman" w:hAnsi="Times New Roman"/>
          <w:sz w:val="24"/>
          <w:szCs w:val="24"/>
        </w:rPr>
        <w:t>on</w:t>
      </w:r>
      <w:proofErr w:type="spellEnd"/>
      <w:r w:rsidR="001F6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E8A">
        <w:rPr>
          <w:rFonts w:ascii="Times New Roman" w:hAnsi="Times New Roman"/>
          <w:sz w:val="24"/>
          <w:szCs w:val="24"/>
        </w:rPr>
        <w:t>line</w:t>
      </w:r>
      <w:proofErr w:type="spellEnd"/>
      <w:r w:rsidR="001F6E8A">
        <w:rPr>
          <w:rFonts w:ascii="Times New Roman" w:hAnsi="Times New Roman"/>
          <w:sz w:val="24"/>
          <w:szCs w:val="24"/>
        </w:rPr>
        <w:t xml:space="preserve"> “BLOG” </w:t>
      </w:r>
      <w:r w:rsidR="001F6E8A" w:rsidRPr="00A0239E">
        <w:rPr>
          <w:rFonts w:ascii="Times New Roman" w:hAnsi="Times New Roman"/>
          <w:sz w:val="24"/>
          <w:szCs w:val="24"/>
        </w:rPr>
        <w:lastRenderedPageBreak/>
        <w:t>(</w:t>
      </w:r>
      <w:hyperlink r:id="rId9" w:history="1">
        <w:r w:rsidR="001F6E8A" w:rsidRPr="00A0239E">
          <w:rPr>
            <w:rStyle w:val="Hyperlink"/>
            <w:rFonts w:ascii="Times New Roman" w:hAnsi="Times New Roman"/>
            <w:sz w:val="24"/>
            <w:szCs w:val="24"/>
          </w:rPr>
          <w:t>http://cirurgia-bucomaxilofacial.webnode.com/</w:t>
        </w:r>
      </w:hyperlink>
      <w:r>
        <w:rPr>
          <w:rFonts w:ascii="Times New Roman" w:hAnsi="Times New Roman"/>
          <w:sz w:val="24"/>
          <w:szCs w:val="24"/>
        </w:rPr>
        <w:t>) e do d</w:t>
      </w:r>
      <w:r w:rsidR="001F6E8A">
        <w:rPr>
          <w:rFonts w:ascii="Times New Roman" w:hAnsi="Times New Roman"/>
          <w:sz w:val="24"/>
          <w:szCs w:val="24"/>
        </w:rPr>
        <w:t>esenvolvimento do GUIA BÁSICO DE ESTUDO</w:t>
      </w:r>
      <w:r w:rsidR="001F6E8A" w:rsidRPr="00A0239E">
        <w:rPr>
          <w:rFonts w:ascii="Times New Roman" w:hAnsi="Times New Roman"/>
          <w:sz w:val="24"/>
          <w:szCs w:val="24"/>
        </w:rPr>
        <w:t xml:space="preserve"> disponibilizado no BLOG da disciplina de cirurgia II (</w:t>
      </w:r>
      <w:hyperlink r:id="rId10" w:history="1">
        <w:r w:rsidR="001F6E8A" w:rsidRPr="00A0239E">
          <w:rPr>
            <w:rStyle w:val="Hyperlink"/>
            <w:rFonts w:ascii="Times New Roman" w:hAnsi="Times New Roman"/>
            <w:sz w:val="24"/>
            <w:szCs w:val="24"/>
          </w:rPr>
          <w:t>http://cirurgia-bucomaxilofacial.webnode.com/</w:t>
        </w:r>
      </w:hyperlink>
      <w:r w:rsidR="001F6E8A" w:rsidRPr="00A0239E">
        <w:rPr>
          <w:rFonts w:ascii="Times New Roman" w:hAnsi="Times New Roman"/>
          <w:sz w:val="24"/>
          <w:szCs w:val="24"/>
        </w:rPr>
        <w:t>).</w:t>
      </w:r>
    </w:p>
    <w:p w:rsidR="001F6E8A" w:rsidRDefault="001F6E8A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</w:p>
    <w:p w:rsidR="001F6E8A" w:rsidRPr="001F6E8A" w:rsidRDefault="001F6E8A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1F6E8A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RESULTADOS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11"/>
      </w:tblGrid>
      <w:tr w:rsidR="000543D8" w:rsidRPr="00A0239E" w:rsidTr="00687D21">
        <w:tc>
          <w:tcPr>
            <w:tcW w:w="4361" w:type="dxa"/>
            <w:shd w:val="clear" w:color="auto" w:fill="auto"/>
            <w:vAlign w:val="center"/>
          </w:tcPr>
          <w:p w:rsidR="000543D8" w:rsidRPr="00A0239E" w:rsidRDefault="001F6E8A" w:rsidP="00687D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Propostas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39E">
              <w:rPr>
                <w:rFonts w:ascii="Times New Roman" w:hAnsi="Times New Roman"/>
                <w:b/>
                <w:sz w:val="24"/>
                <w:szCs w:val="24"/>
              </w:rPr>
              <w:t>Objetivos alcançados</w:t>
            </w:r>
          </w:p>
        </w:tc>
      </w:tr>
      <w:tr w:rsidR="000543D8" w:rsidRPr="00A0239E" w:rsidTr="00687D21">
        <w:tc>
          <w:tcPr>
            <w:tcW w:w="436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Capacitar o monitor na preparação de material didático</w:t>
            </w:r>
          </w:p>
        </w:tc>
        <w:tc>
          <w:tcPr>
            <w:tcW w:w="411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 xml:space="preserve">Elaboração de guia de estudo de qualidade </w:t>
            </w:r>
          </w:p>
        </w:tc>
      </w:tr>
      <w:tr w:rsidR="000543D8" w:rsidRPr="00A0239E" w:rsidTr="00687D21">
        <w:tc>
          <w:tcPr>
            <w:tcW w:w="436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Capacitar o monitor no uso do ambiente virtual para processo de aprendizagem</w:t>
            </w:r>
          </w:p>
        </w:tc>
        <w:tc>
          <w:tcPr>
            <w:tcW w:w="411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Elaboração de ambiente virtual para discussão de casos clínicos e troca de informação entre alunos, monitores e professores,  favorecendo o entendimento dos conceitos teóricos da disciplina</w:t>
            </w:r>
          </w:p>
        </w:tc>
      </w:tr>
      <w:tr w:rsidR="000543D8" w:rsidRPr="00A0239E" w:rsidTr="00687D21">
        <w:tc>
          <w:tcPr>
            <w:tcW w:w="436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 xml:space="preserve">Fornecer ao monitor uma adequada postura durante o acompanhamento ao aluno </w:t>
            </w:r>
          </w:p>
        </w:tc>
        <w:tc>
          <w:tcPr>
            <w:tcW w:w="411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Adquirir postura ética compatível com a figura do monitor</w:t>
            </w:r>
          </w:p>
        </w:tc>
      </w:tr>
      <w:tr w:rsidR="000543D8" w:rsidRPr="00A0239E" w:rsidTr="00687D21">
        <w:tc>
          <w:tcPr>
            <w:tcW w:w="436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Interação virtual com o estudante</w:t>
            </w:r>
          </w:p>
        </w:tc>
        <w:tc>
          <w:tcPr>
            <w:tcW w:w="4111" w:type="dxa"/>
            <w:shd w:val="clear" w:color="auto" w:fill="auto"/>
          </w:tcPr>
          <w:p w:rsidR="000543D8" w:rsidRPr="00A0239E" w:rsidRDefault="000543D8" w:rsidP="00687D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39E">
              <w:rPr>
                <w:rFonts w:ascii="Times New Roman" w:hAnsi="Times New Roman"/>
                <w:sz w:val="24"/>
                <w:szCs w:val="24"/>
              </w:rPr>
              <w:t>Melhoria da comunicação entre professor-monitor-aluno</w:t>
            </w:r>
          </w:p>
        </w:tc>
      </w:tr>
    </w:tbl>
    <w:p w:rsidR="00687D21" w:rsidRDefault="00687D21" w:rsidP="00687D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87D21" w:rsidRPr="00687D21" w:rsidRDefault="00687D21" w:rsidP="00687D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7D21">
        <w:rPr>
          <w:rFonts w:ascii="Times New Roman" w:hAnsi="Times New Roman"/>
          <w:b/>
          <w:sz w:val="24"/>
          <w:szCs w:val="24"/>
        </w:rPr>
        <w:t>CONCLUSÃO</w:t>
      </w:r>
    </w:p>
    <w:p w:rsidR="00687D21" w:rsidRDefault="003870C2" w:rsidP="00687D21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Nesse contexto</w:t>
      </w:r>
      <w:r w:rsidR="00687D21" w:rsidRPr="00687D2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  <w:r w:rsidR="00687D21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r</w:t>
      </w:r>
      <w:r w:rsidR="00687D21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essaltamos a importância dos educadores realizarem uma reflexão a respeito das novas possibilidades de práticas de ensino, diante do contexto tecnológico que estamos inseridos atualmente. Ainda vale frisar a importância de utilizar novas ferramentas de ensino, a fim de adequar o processo de ensino/aprendizagem ao novo perfil de aluno, possibilitando a eficácia do mesmo.  </w:t>
      </w:r>
    </w:p>
    <w:p w:rsidR="003870C2" w:rsidRPr="003870C2" w:rsidRDefault="00687D21" w:rsidP="00687D21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Logo,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o trabalho com o blog, além das outras ferramentas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textuais (guia básico de estudo da disciplina) ou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digitais, pode</w:t>
      </w:r>
      <w:r w:rsidR="00435410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m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trazer várias contribuições, de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ntre elas o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lastRenderedPageBreak/>
        <w:t xml:space="preserve">desenvolvimento de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habilidades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, como competência crítica, maior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interação 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professor/aluno e aluno/aluno, desenvolvimento de atividades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criativ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as, aprendizagem cooperativa,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trabalho colaborativo em busca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da construção do conhecimento e a 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possibilida</w:t>
      </w: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de de trabalho interdisciplinar; dentre outras</w:t>
      </w:r>
      <w:r w:rsidR="003870C2"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 </w:t>
      </w:r>
    </w:p>
    <w:p w:rsidR="003870C2" w:rsidRPr="00687D21" w:rsidRDefault="003870C2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3870C2" w:rsidRPr="00687D21" w:rsidRDefault="003870C2" w:rsidP="00687D21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Cs w:val="18"/>
          <w:lang w:eastAsia="pt-BR"/>
        </w:rPr>
      </w:pPr>
      <w:r w:rsidRPr="00687D21">
        <w:rPr>
          <w:rFonts w:ascii="Times New Roman" w:eastAsia="Times New Roman" w:hAnsi="Times New Roman"/>
          <w:b/>
          <w:color w:val="000000"/>
          <w:szCs w:val="18"/>
          <w:lang w:eastAsia="pt-BR"/>
        </w:rPr>
        <w:t xml:space="preserve">REFERÊNCIAS  </w:t>
      </w:r>
      <w:r w:rsidR="00687D21" w:rsidRPr="00687D21">
        <w:rPr>
          <w:rFonts w:ascii="Times New Roman" w:eastAsia="Times New Roman" w:hAnsi="Times New Roman"/>
          <w:b/>
          <w:color w:val="000000"/>
          <w:szCs w:val="18"/>
          <w:lang w:eastAsia="pt-BR"/>
        </w:rPr>
        <w:t>BLIBIOGRÁFICAS</w:t>
      </w:r>
    </w:p>
    <w:p w:rsidR="003870C2" w:rsidRPr="003870C2" w:rsidRDefault="003870C2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CARVALHO, Tatiana Lourenço. O professor de espanhol diante dos letramentos da web e a utilização dos gêneros digitais. In: Júlio Cézar Araújo e Messias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Dieb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. (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Orgs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.). Letramentos na Web: gêneros, interação e ensino. Fortaleza: Edições UFC, 2009, p. 82-98. </w:t>
      </w:r>
    </w:p>
    <w:p w:rsidR="003870C2" w:rsidRPr="003870C2" w:rsidRDefault="003870C2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COSTA, Sérgio Roberto. Dicionário de gêneros textuais. 2. ed. rev.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ampl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– Belo Horizonte: Autêntica Editora, 2009. </w:t>
      </w:r>
    </w:p>
    <w:p w:rsidR="003870C2" w:rsidRPr="003870C2" w:rsidRDefault="003870C2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LERNER, Delia. Ler e Escrever na Escola: o Real, o Possível e o Necessário. Porto Alegre: Artmed, 2002.  </w:t>
      </w:r>
    </w:p>
    <w:p w:rsidR="003870C2" w:rsidRPr="003870C2" w:rsidRDefault="003870C2" w:rsidP="00687D2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PAIVA, Vera L. M. de Oliveira ; BRAGA, J. C. F. . Reconfigurando a sala de aula em ambientes virtuais de aprendizagem. In: Ana Maria Barcelos. (Org.). Linguística Aplicada: reflexões sobre ensino e aprendizagem de língua materna e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lingua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estrangeira. Campinas: Pontes, 2011, v. 13, p. 119-139. </w:t>
      </w:r>
    </w:p>
    <w:p w:rsidR="007B4C6A" w:rsidRPr="008622C7" w:rsidRDefault="003870C2" w:rsidP="00687D21">
      <w:pPr>
        <w:spacing w:line="360" w:lineRule="auto"/>
        <w:jc w:val="both"/>
        <w:rPr>
          <w:rFonts w:ascii="Times New Roman" w:hAnsi="Times New Roman"/>
        </w:rPr>
      </w:pP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PRENSKY, Mark. Digital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natives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, digital </w:t>
      </w:r>
      <w:proofErr w:type="spellStart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immigrants</w:t>
      </w:r>
      <w:proofErr w:type="spellEnd"/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. </w:t>
      </w:r>
      <w:r w:rsidRPr="00476283">
        <w:rPr>
          <w:rFonts w:ascii="Times New Roman" w:eastAsia="Times New Roman" w:hAnsi="Times New Roman"/>
          <w:color w:val="000000"/>
          <w:sz w:val="24"/>
          <w:szCs w:val="18"/>
          <w:lang w:val="en-US" w:eastAsia="pt-BR"/>
        </w:rPr>
        <w:t xml:space="preserve">On the Horizon, v. 9, n. 5, 2001. </w:t>
      </w:r>
      <w:r w:rsidRPr="003870C2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Trad. Roberta de Moraes Jesus de Souza.</w:t>
      </w:r>
    </w:p>
    <w:sectPr w:rsidR="007B4C6A" w:rsidRPr="008622C7" w:rsidSect="00435410">
      <w:pgSz w:w="11906" w:h="16838"/>
      <w:pgMar w:top="2127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A6" w:rsidRDefault="00EA12A6" w:rsidP="00471A5D">
      <w:pPr>
        <w:spacing w:after="0" w:line="240" w:lineRule="auto"/>
      </w:pPr>
      <w:r>
        <w:separator/>
      </w:r>
    </w:p>
  </w:endnote>
  <w:endnote w:type="continuationSeparator" w:id="0">
    <w:p w:rsidR="00EA12A6" w:rsidRDefault="00EA12A6" w:rsidP="0047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A6" w:rsidRDefault="00EA12A6" w:rsidP="00471A5D">
      <w:pPr>
        <w:spacing w:after="0" w:line="240" w:lineRule="auto"/>
      </w:pPr>
      <w:r>
        <w:separator/>
      </w:r>
    </w:p>
  </w:footnote>
  <w:footnote w:type="continuationSeparator" w:id="0">
    <w:p w:rsidR="00EA12A6" w:rsidRDefault="00EA12A6" w:rsidP="0047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0B0"/>
    <w:multiLevelType w:val="hybridMultilevel"/>
    <w:tmpl w:val="202A61C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3122"/>
    <w:multiLevelType w:val="hybridMultilevel"/>
    <w:tmpl w:val="5D8658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09"/>
    <w:rsid w:val="000543D8"/>
    <w:rsid w:val="00056EE1"/>
    <w:rsid w:val="001A299A"/>
    <w:rsid w:val="001F6E8A"/>
    <w:rsid w:val="00241869"/>
    <w:rsid w:val="00283C4B"/>
    <w:rsid w:val="002D4B1F"/>
    <w:rsid w:val="002F2A0C"/>
    <w:rsid w:val="003870C2"/>
    <w:rsid w:val="003A1E00"/>
    <w:rsid w:val="003C62A4"/>
    <w:rsid w:val="00435410"/>
    <w:rsid w:val="0044798B"/>
    <w:rsid w:val="00471A5D"/>
    <w:rsid w:val="00476283"/>
    <w:rsid w:val="004F056B"/>
    <w:rsid w:val="005676F3"/>
    <w:rsid w:val="005C0C39"/>
    <w:rsid w:val="005E483A"/>
    <w:rsid w:val="00687D21"/>
    <w:rsid w:val="006E7673"/>
    <w:rsid w:val="007B4C6A"/>
    <w:rsid w:val="007B7878"/>
    <w:rsid w:val="008241A3"/>
    <w:rsid w:val="00857069"/>
    <w:rsid w:val="008622C7"/>
    <w:rsid w:val="00907F58"/>
    <w:rsid w:val="00937BFD"/>
    <w:rsid w:val="00952921"/>
    <w:rsid w:val="00960F23"/>
    <w:rsid w:val="00975DEC"/>
    <w:rsid w:val="00A04F5E"/>
    <w:rsid w:val="00AC261C"/>
    <w:rsid w:val="00AE78E2"/>
    <w:rsid w:val="00B04074"/>
    <w:rsid w:val="00B840E8"/>
    <w:rsid w:val="00C15D31"/>
    <w:rsid w:val="00C63233"/>
    <w:rsid w:val="00C94CDF"/>
    <w:rsid w:val="00CD0091"/>
    <w:rsid w:val="00D97209"/>
    <w:rsid w:val="00E26124"/>
    <w:rsid w:val="00E75CE2"/>
    <w:rsid w:val="00EA12A6"/>
    <w:rsid w:val="00F04880"/>
    <w:rsid w:val="00F81C01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5">
    <w:name w:val="Tabela Simples 5"/>
    <w:basedOn w:val="Tabelanormal"/>
    <w:uiPriority w:val="45"/>
    <w:rsid w:val="005E48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Fontepargpadro"/>
    <w:rsid w:val="00B04074"/>
  </w:style>
  <w:style w:type="paragraph" w:styleId="PargrafodaLista">
    <w:name w:val="List Paragraph"/>
    <w:basedOn w:val="Normal"/>
    <w:uiPriority w:val="34"/>
    <w:qFormat/>
    <w:rsid w:val="00B040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1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A5D"/>
  </w:style>
  <w:style w:type="paragraph" w:styleId="Rodap">
    <w:name w:val="footer"/>
    <w:basedOn w:val="Normal"/>
    <w:link w:val="RodapChar"/>
    <w:uiPriority w:val="99"/>
    <w:unhideWhenUsed/>
    <w:rsid w:val="00471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A5D"/>
  </w:style>
  <w:style w:type="character" w:styleId="Hyperlink">
    <w:name w:val="Hyperlink"/>
    <w:uiPriority w:val="99"/>
    <w:semiHidden/>
    <w:unhideWhenUsed/>
    <w:rsid w:val="00054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5">
    <w:name w:val="Tabela Simples 5"/>
    <w:basedOn w:val="Tabelanormal"/>
    <w:uiPriority w:val="45"/>
    <w:rsid w:val="005E48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Fontepargpadro"/>
    <w:rsid w:val="00B04074"/>
  </w:style>
  <w:style w:type="paragraph" w:styleId="PargrafodaLista">
    <w:name w:val="List Paragraph"/>
    <w:basedOn w:val="Normal"/>
    <w:uiPriority w:val="34"/>
    <w:qFormat/>
    <w:rsid w:val="00B040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1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A5D"/>
  </w:style>
  <w:style w:type="paragraph" w:styleId="Rodap">
    <w:name w:val="footer"/>
    <w:basedOn w:val="Normal"/>
    <w:link w:val="RodapChar"/>
    <w:uiPriority w:val="99"/>
    <w:unhideWhenUsed/>
    <w:rsid w:val="00471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A5D"/>
  </w:style>
  <w:style w:type="character" w:styleId="Hyperlink">
    <w:name w:val="Hyperlink"/>
    <w:uiPriority w:val="99"/>
    <w:semiHidden/>
    <w:unhideWhenUsed/>
    <w:rsid w:val="0005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irurgia-bucomaxilofacial.webnod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rurgia-bucomaxilofacial.webnode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654D-B1D9-4760-995B-3C503D2D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Links>
    <vt:vector size="12" baseType="variant"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http://cirurgia-bucomaxilofacial.webnode.com/</vt:lpwstr>
      </vt:variant>
      <vt:variant>
        <vt:lpwstr/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http://cirurgia-bucomaxilofacial.webnode.com/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Queiroz</dc:creator>
  <cp:lastModifiedBy>DCOS</cp:lastModifiedBy>
  <cp:revision>2</cp:revision>
  <dcterms:created xsi:type="dcterms:W3CDTF">2013-10-31T19:17:00Z</dcterms:created>
  <dcterms:modified xsi:type="dcterms:W3CDTF">2013-10-31T19:17:00Z</dcterms:modified>
</cp:coreProperties>
</file>